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этапа  Всероссийской олимпиады школьников по </w:t>
      </w:r>
      <w:r w:rsidR="004A46F1" w:rsidRPr="003D6722">
        <w:rPr>
          <w:rFonts w:ascii="Times New Roman" w:hAnsi="Times New Roman" w:cs="Times New Roman"/>
          <w:b/>
          <w:sz w:val="24"/>
          <w:szCs w:val="24"/>
        </w:rPr>
        <w:t>физической культуре</w:t>
      </w:r>
      <w:r w:rsidR="000944EE">
        <w:rPr>
          <w:rFonts w:ascii="Times New Roman" w:hAnsi="Times New Roman" w:cs="Times New Roman"/>
          <w:b/>
          <w:sz w:val="24"/>
          <w:szCs w:val="24"/>
        </w:rPr>
        <w:t xml:space="preserve"> в 2021/2022</w:t>
      </w:r>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(7-8 класс)</w:t>
      </w:r>
    </w:p>
    <w:p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астрономических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 xml:space="preserve">астрономических </w:t>
      </w:r>
      <w:proofErr w:type="gramStart"/>
      <w:r w:rsidRPr="003D6722">
        <w:rPr>
          <w:color w:val="000000" w:themeColor="text1"/>
        </w:rPr>
        <w:t xml:space="preserve">часа </w:t>
      </w:r>
      <w:r w:rsidR="00056915" w:rsidRPr="003D6722">
        <w:rPr>
          <w:color w:val="000000" w:themeColor="text1"/>
        </w:rPr>
        <w:t xml:space="preserve"> </w:t>
      </w:r>
      <w:r w:rsidRPr="003D6722">
        <w:rPr>
          <w:color w:val="000000" w:themeColor="text1"/>
        </w:rPr>
        <w:t>для</w:t>
      </w:r>
      <w:proofErr w:type="gramEnd"/>
      <w:r w:rsidRPr="003D6722">
        <w:rPr>
          <w:color w:val="000000" w:themeColor="text1"/>
        </w:rPr>
        <w:t xml:space="preserve"> практического задания, включая инструктаж и подготовку к выполнению упражнения.</w:t>
      </w:r>
    </w:p>
    <w:p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7B0BA4">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F11F1F" w:rsidRPr="003D6722">
        <w:rPr>
          <w:rFonts w:ascii="Times New Roman" w:hAnsi="Times New Roman" w:cs="Times New Roman"/>
          <w:bCs/>
          <w:sz w:val="24"/>
          <w:szCs w:val="24"/>
        </w:rPr>
        <w:t xml:space="preserve">- </w:t>
      </w:r>
      <w:r w:rsidR="007B0BA4">
        <w:rPr>
          <w:rFonts w:ascii="Times New Roman" w:hAnsi="Times New Roman" w:cs="Times New Roman"/>
          <w:bCs/>
          <w:sz w:val="24"/>
          <w:szCs w:val="24"/>
        </w:rPr>
        <w:t xml:space="preserve">гимнастика, </w:t>
      </w:r>
      <w:r w:rsidR="00F11F1F" w:rsidRPr="003D6722">
        <w:rPr>
          <w:rFonts w:ascii="Times New Roman" w:hAnsi="Times New Roman" w:cs="Times New Roman"/>
          <w:bCs/>
          <w:sz w:val="24"/>
          <w:szCs w:val="24"/>
        </w:rPr>
        <w:t>легкая атлетика</w:t>
      </w:r>
      <w:r w:rsidR="00256F24">
        <w:rPr>
          <w:rFonts w:ascii="Times New Roman" w:hAnsi="Times New Roman" w:cs="Times New Roman"/>
          <w:bCs/>
          <w:sz w:val="24"/>
          <w:szCs w:val="24"/>
        </w:rPr>
        <w:t xml:space="preserve"> (на выбор одно испытание из двух)</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rsidR="00453A1E" w:rsidRPr="003D6722" w:rsidRDefault="00453A1E" w:rsidP="003576D4">
      <w:pPr>
        <w:pStyle w:val="Default"/>
        <w:spacing w:after="100" w:afterAutospacing="1"/>
        <w:ind w:firstLine="709"/>
        <w:jc w:val="center"/>
        <w:rPr>
          <w:b/>
          <w:bCs/>
          <w:color w:val="000000" w:themeColor="text1"/>
        </w:rPr>
      </w:pPr>
    </w:p>
    <w:p w:rsidR="00453A1E" w:rsidRPr="003D6722" w:rsidRDefault="00453A1E" w:rsidP="003576D4">
      <w:pPr>
        <w:pStyle w:val="Default"/>
        <w:spacing w:after="100" w:afterAutospacing="1"/>
        <w:ind w:firstLine="709"/>
        <w:jc w:val="center"/>
        <w:rPr>
          <w:b/>
          <w:bCs/>
          <w:color w:val="000000" w:themeColor="text1"/>
        </w:rPr>
      </w:pPr>
    </w:p>
    <w:p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w:t>
      </w:r>
      <w:proofErr w:type="spellStart"/>
      <w:r w:rsidR="002C11D2" w:rsidRPr="003D6722">
        <w:rPr>
          <w:rFonts w:ascii="Times New Roman" w:hAnsi="Times New Roman" w:cs="Times New Roman"/>
          <w:color w:val="000000" w:themeColor="text1"/>
          <w:sz w:val="24"/>
          <w:szCs w:val="24"/>
        </w:rPr>
        <w:t>методичекому</w:t>
      </w:r>
      <w:proofErr w:type="spellEnd"/>
      <w:r w:rsidR="002C11D2" w:rsidRPr="003D6722">
        <w:rPr>
          <w:rFonts w:ascii="Times New Roman" w:hAnsi="Times New Roman" w:cs="Times New Roman"/>
          <w:color w:val="000000" w:themeColor="text1"/>
          <w:sz w:val="24"/>
          <w:szCs w:val="24"/>
        </w:rPr>
        <w:t xml:space="preserve">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proofErr w:type="gramStart"/>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 чем</w:t>
      </w:r>
      <w:proofErr w:type="gramEnd"/>
      <w:r w:rsidRPr="003D6722">
        <w:rPr>
          <w:rFonts w:ascii="Times New Roman" w:hAnsi="Times New Roman" w:cs="Times New Roman"/>
          <w:sz w:val="24"/>
          <w:szCs w:val="24"/>
        </w:rPr>
        <w:t xml:space="preserve"> участник начнёт своё выступление, должны быть чётко объявлены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случаев вызванных непредвиденными обстоятельствами, к которым относятся: поломка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rsidR="00695F9D" w:rsidRPr="003D6722" w:rsidRDefault="00695F9D" w:rsidP="00E02E63">
      <w:pPr>
        <w:autoSpaceDE w:val="0"/>
        <w:autoSpaceDN w:val="0"/>
        <w:adjustRightInd w:val="0"/>
        <w:spacing w:after="0" w:line="240" w:lineRule="auto"/>
        <w:jc w:val="both"/>
        <w:rPr>
          <w:rFonts w:ascii="Times New Roman" w:hAnsi="Times New Roman" w:cs="Times New Roman"/>
          <w:b/>
          <w:bCs/>
          <w:sz w:val="24"/>
          <w:szCs w:val="24"/>
        </w:rPr>
      </w:pPr>
    </w:p>
    <w:p w:rsidR="00E6774F" w:rsidRPr="003D6722" w:rsidRDefault="00E6774F" w:rsidP="00D26A3A">
      <w:pPr>
        <w:autoSpaceDE w:val="0"/>
        <w:autoSpaceDN w:val="0"/>
        <w:adjustRightInd w:val="0"/>
        <w:spacing w:after="0" w:line="240" w:lineRule="auto"/>
        <w:rPr>
          <w:rFonts w:ascii="Times New Roman" w:hAnsi="Times New Roman" w:cs="Times New Roman"/>
          <w:bCs/>
          <w:sz w:val="24"/>
          <w:szCs w:val="24"/>
        </w:rPr>
      </w:pPr>
    </w:p>
    <w:p w:rsidR="00E6774F" w:rsidRPr="003D6722" w:rsidRDefault="00E6774F" w:rsidP="00E6774F">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rsidR="00E6774F" w:rsidRPr="003D6722" w:rsidRDefault="00E6774F" w:rsidP="00DD1C88">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rsidR="00E6774F" w:rsidRPr="003D6722" w:rsidRDefault="00E6774F" w:rsidP="00DD1C88">
      <w:pPr>
        <w:autoSpaceDE w:val="0"/>
        <w:autoSpaceDN w:val="0"/>
        <w:adjustRightInd w:val="0"/>
        <w:spacing w:after="0" w:line="240" w:lineRule="auto"/>
        <w:ind w:firstLine="709"/>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ограничения ширины дорожки при вы-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полнении упражнений на гимнастическом помосте или ковре.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5. Компьютер (ноутбук) с программным обеспечением </w:t>
      </w:r>
      <w:proofErr w:type="spellStart"/>
      <w:r w:rsidRPr="003D6722">
        <w:rPr>
          <w:rFonts w:ascii="Times New Roman" w:hAnsi="Times New Roman" w:cs="Times New Roman"/>
          <w:bCs/>
          <w:sz w:val="24"/>
          <w:szCs w:val="24"/>
        </w:rPr>
        <w:t>Windows</w:t>
      </w:r>
      <w:proofErr w:type="spellEnd"/>
      <w:r w:rsidRPr="003D6722">
        <w:rPr>
          <w:rFonts w:ascii="Times New Roman" w:hAnsi="Times New Roman" w:cs="Times New Roman"/>
          <w:bCs/>
          <w:sz w:val="24"/>
          <w:szCs w:val="24"/>
        </w:rPr>
        <w:t xml:space="preserve"> XP или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2003-2010).</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lastRenderedPageBreak/>
        <w:t>2. Секундомер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Калькулятор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2. </w:t>
      </w:r>
      <w:proofErr w:type="spellStart"/>
      <w:r w:rsidRPr="003D6722">
        <w:rPr>
          <w:rFonts w:ascii="Times New Roman" w:hAnsi="Times New Roman" w:cs="Times New Roman"/>
          <w:bCs/>
          <w:sz w:val="24"/>
          <w:szCs w:val="24"/>
        </w:rPr>
        <w:t>Бейдж</w:t>
      </w:r>
      <w:proofErr w:type="spellEnd"/>
      <w:r w:rsidRPr="003D6722">
        <w:rPr>
          <w:rFonts w:ascii="Times New Roman" w:hAnsi="Times New Roman" w:cs="Times New Roman"/>
          <w:bCs/>
          <w:sz w:val="24"/>
          <w:szCs w:val="24"/>
        </w:rPr>
        <w:t xml:space="preserve"> на каждого члена бригады судей.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5. </w:t>
      </w:r>
      <w:proofErr w:type="spellStart"/>
      <w:r w:rsidRPr="003D6722">
        <w:rPr>
          <w:rFonts w:ascii="Times New Roman" w:hAnsi="Times New Roman" w:cs="Times New Roman"/>
          <w:bCs/>
          <w:sz w:val="24"/>
          <w:szCs w:val="24"/>
        </w:rPr>
        <w:t>Степлер</w:t>
      </w:r>
      <w:proofErr w:type="spellEnd"/>
      <w:r w:rsidRPr="003D6722">
        <w:rPr>
          <w:rFonts w:ascii="Times New Roman" w:hAnsi="Times New Roman" w:cs="Times New Roman"/>
          <w:bCs/>
          <w:sz w:val="24"/>
          <w:szCs w:val="24"/>
        </w:rPr>
        <w:t xml:space="preserve">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rsidR="0017270B" w:rsidRPr="003D6722" w:rsidRDefault="0017270B" w:rsidP="00E6774F">
      <w:pPr>
        <w:autoSpaceDE w:val="0"/>
        <w:autoSpaceDN w:val="0"/>
        <w:adjustRightInd w:val="0"/>
        <w:spacing w:after="0" w:line="240" w:lineRule="auto"/>
        <w:rPr>
          <w:rFonts w:ascii="Times New Roman" w:hAnsi="Times New Roman" w:cs="Times New Roman"/>
          <w:b/>
          <w:bCs/>
          <w:sz w:val="24"/>
          <w:szCs w:val="24"/>
        </w:rPr>
      </w:pPr>
    </w:p>
    <w:p w:rsidR="00E66B44" w:rsidRPr="003D6722" w:rsidRDefault="00E66B44" w:rsidP="00E66B44">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rsidR="00E66B44" w:rsidRPr="003D6722" w:rsidRDefault="00E66B44" w:rsidP="004C30D8">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    Необходимое оборудование: </w:t>
      </w:r>
    </w:p>
    <w:p w:rsidR="00E66B44" w:rsidRPr="003D6722" w:rsidRDefault="00E66B44" w:rsidP="004C30D8">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sidR="00EA4C6E">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bookmarkStart w:id="0" w:name="_GoBack"/>
      <w:bookmarkEnd w:id="0"/>
    </w:p>
    <w:p w:rsidR="00E66B44" w:rsidRPr="003D6722" w:rsidRDefault="00E66B44" w:rsidP="004C30D8">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забега. </w:t>
      </w:r>
    </w:p>
    <w:p w:rsidR="00E66B44" w:rsidRPr="003D6722" w:rsidRDefault="00E66B44" w:rsidP="004C30D8">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rsidR="00E66B44" w:rsidRPr="003D6722" w:rsidRDefault="00E66B44" w:rsidP="004C30D8">
      <w:pPr>
        <w:pStyle w:val="a3"/>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rsidR="00E66B44" w:rsidRPr="003D6722" w:rsidRDefault="00E66B44" w:rsidP="004C30D8">
      <w:pPr>
        <w:spacing w:after="0" w:line="240" w:lineRule="auto"/>
        <w:ind w:left="-567" w:firstLine="567"/>
        <w:rPr>
          <w:rFonts w:ascii="Times New Roman" w:hAnsi="Times New Roman" w:cs="Times New Roman"/>
          <w:sz w:val="24"/>
          <w:szCs w:val="24"/>
        </w:rPr>
      </w:pPr>
    </w:p>
    <w:p w:rsidR="00006231" w:rsidRPr="003D6722" w:rsidRDefault="00006231" w:rsidP="0000623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Показ олимпиадных заданий</w:t>
      </w:r>
    </w:p>
    <w:p w:rsidR="00006231" w:rsidRPr="003D6722" w:rsidRDefault="00006231" w:rsidP="00006231">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Показ олимпиадных заданий (только практических испытаний) проводится за 24</w:t>
      </w:r>
    </w:p>
    <w:p w:rsidR="00006231" w:rsidRPr="003D6722" w:rsidRDefault="00006231" w:rsidP="00006231">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часа до начала регионального этапа.</w:t>
      </w:r>
    </w:p>
    <w:p w:rsidR="00006231" w:rsidRPr="003D6722" w:rsidRDefault="00006231" w:rsidP="00017991">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Основная цель показа олимпиадных заданий – знакомство участников с содержанием предстоящих практических испытаний Олимпиады и основными идеями выполнения каждого из предложенных заданий, а также знакомство с критериями оценивания. На процедуре показа заданий могут присутствовать только участники Олимпиады, без сопровождающих лиц. Показ заданий должен проводиться в отдельном помещении, вмещающем всех участников. Допускается поочередный показ работ между юношами и</w:t>
      </w:r>
    </w:p>
    <w:p w:rsidR="00006231" w:rsidRPr="003D6722" w:rsidRDefault="00006231" w:rsidP="00006231">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девушками.</w:t>
      </w:r>
    </w:p>
    <w:p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w:t>
      </w:r>
      <w:r w:rsidRPr="003D6722">
        <w:rPr>
          <w:rFonts w:ascii="Times New Roman" w:hAnsi="Times New Roman" w:cs="Times New Roman"/>
          <w:color w:val="000000" w:themeColor="text1"/>
          <w:sz w:val="24"/>
          <w:szCs w:val="24"/>
        </w:rPr>
        <w:lastRenderedPageBreak/>
        <w:t xml:space="preserve">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50"/>
        <w:gridCol w:w="2836"/>
        <w:gridCol w:w="2885"/>
        <w:gridCol w:w="1899"/>
      </w:tblGrid>
      <w:tr w:rsidR="006D7833" w:rsidRPr="003D6722" w:rsidTr="00EE2C22">
        <w:tc>
          <w:tcPr>
            <w:tcW w:w="1950" w:type="dxa"/>
            <w:vMerge w:val="restart"/>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21" w:type="dxa"/>
            <w:gridSpan w:val="2"/>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899" w:type="dxa"/>
            <w:vMerge w:val="restart"/>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EE2C22" w:rsidRPr="003D6722" w:rsidTr="00EE2C22">
        <w:tc>
          <w:tcPr>
            <w:tcW w:w="0" w:type="auto"/>
            <w:vMerge/>
            <w:tcBorders>
              <w:top w:val="single" w:sz="4" w:space="0" w:color="auto"/>
              <w:left w:val="single" w:sz="4" w:space="0" w:color="auto"/>
              <w:bottom w:val="single" w:sz="4" w:space="0" w:color="auto"/>
              <w:right w:val="single" w:sz="4" w:space="0" w:color="auto"/>
            </w:tcBorders>
            <w:vAlign w:val="center"/>
            <w:hideMark/>
          </w:tcPr>
          <w:p w:rsidR="00EE2C22" w:rsidRPr="003D6722" w:rsidRDefault="00EE2C22" w:rsidP="002F1AE3">
            <w:pPr>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885" w:type="dxa"/>
            <w:tcBorders>
              <w:top w:val="single" w:sz="4" w:space="0" w:color="auto"/>
              <w:left w:val="single" w:sz="4" w:space="0" w:color="auto"/>
              <w:bottom w:val="single" w:sz="4" w:space="0" w:color="auto"/>
              <w:right w:val="single" w:sz="4" w:space="0" w:color="auto"/>
            </w:tcBorders>
            <w:hideMark/>
          </w:tcPr>
          <w:p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C22" w:rsidRPr="003D6722" w:rsidRDefault="00EE2C22" w:rsidP="002F1AE3">
            <w:pPr>
              <w:rPr>
                <w:rFonts w:ascii="Times New Roman" w:eastAsia="Times New Roman" w:hAnsi="Times New Roman" w:cs="Times New Roman"/>
                <w:b/>
                <w:sz w:val="24"/>
                <w:szCs w:val="24"/>
                <w:lang w:eastAsia="ru-RU"/>
              </w:rPr>
            </w:pPr>
          </w:p>
        </w:tc>
      </w:tr>
      <w:tr w:rsidR="00EE2C22" w:rsidRPr="003D6722" w:rsidTr="00EE2C22">
        <w:tc>
          <w:tcPr>
            <w:tcW w:w="1950" w:type="dxa"/>
            <w:tcBorders>
              <w:top w:val="single" w:sz="4" w:space="0" w:color="auto"/>
              <w:left w:val="single" w:sz="4" w:space="0" w:color="auto"/>
              <w:bottom w:val="single" w:sz="4" w:space="0" w:color="auto"/>
              <w:right w:val="single" w:sz="4" w:space="0" w:color="auto"/>
            </w:tcBorders>
            <w:hideMark/>
          </w:tcPr>
          <w:p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836" w:type="dxa"/>
            <w:tcBorders>
              <w:top w:val="single" w:sz="4" w:space="0" w:color="auto"/>
              <w:left w:val="single" w:sz="4" w:space="0" w:color="auto"/>
              <w:bottom w:val="single" w:sz="4" w:space="0" w:color="auto"/>
              <w:right w:val="single" w:sz="4" w:space="0" w:color="auto"/>
            </w:tcBorders>
            <w:hideMark/>
          </w:tcPr>
          <w:p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885" w:type="dxa"/>
            <w:tcBorders>
              <w:top w:val="single" w:sz="4" w:space="0" w:color="auto"/>
              <w:left w:val="single" w:sz="4" w:space="0" w:color="auto"/>
              <w:bottom w:val="single" w:sz="4" w:space="0" w:color="auto"/>
              <w:right w:val="single" w:sz="4" w:space="0" w:color="auto"/>
            </w:tcBorders>
          </w:tcPr>
          <w:p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899" w:type="dxa"/>
            <w:tcBorders>
              <w:top w:val="single" w:sz="4" w:space="0" w:color="auto"/>
              <w:left w:val="single" w:sz="4" w:space="0" w:color="auto"/>
              <w:bottom w:val="single" w:sz="4" w:space="0" w:color="auto"/>
              <w:right w:val="single" w:sz="4" w:space="0" w:color="auto"/>
            </w:tcBorders>
            <w:hideMark/>
          </w:tcPr>
          <w:p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3 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1), где</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2), где</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w:t>
      </w:r>
      <w:proofErr w:type="spellStart"/>
      <w:r w:rsidRPr="003D6722">
        <w:rPr>
          <w:rFonts w:ascii="Times New Roman" w:eastAsia="Times New Roman" w:hAnsi="Times New Roman" w:cs="Times New Roman"/>
          <w:sz w:val="24"/>
          <w:szCs w:val="24"/>
          <w:lang w:eastAsia="ru-RU"/>
        </w:rPr>
        <w:t>го</w:t>
      </w:r>
      <w:proofErr w:type="spellEnd"/>
      <w:r w:rsidRPr="003D6722">
        <w:rPr>
          <w:rFonts w:ascii="Times New Roman" w:eastAsia="Times New Roman" w:hAnsi="Times New Roman" w:cs="Times New Roman"/>
          <w:sz w:val="24"/>
          <w:szCs w:val="24"/>
          <w:lang w:eastAsia="ru-RU"/>
        </w:rPr>
        <w:t xml:space="preserve"> участника;</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Ni</w:t>
      </w:r>
      <w:proofErr w:type="spellEnd"/>
      <w:r w:rsidRPr="003D6722">
        <w:rPr>
          <w:rFonts w:ascii="Times New Roman" w:eastAsia="Times New Roman" w:hAnsi="Times New Roman" w:cs="Times New Roman"/>
          <w:sz w:val="24"/>
          <w:szCs w:val="24"/>
          <w:lang w:eastAsia="ru-RU"/>
        </w:rPr>
        <w:t xml:space="preserve"> – результат i участника в конкретном задании;</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челночный бег), </w:t>
      </w:r>
      <w:r w:rsidRPr="003D6722">
        <w:rPr>
          <w:rFonts w:ascii="Times New Roman" w:hAnsi="Times New Roman" w:cs="Times New Roman"/>
          <w:sz w:val="24"/>
          <w:szCs w:val="24"/>
        </w:rPr>
        <w:t>проводится по формуле (3), так как лучший результат в этих испытаниях в абсолютном значении меньше результата любого другого участника.</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М/</w:t>
      </w:r>
      <w:proofErr w:type="spellStart"/>
      <w:proofErr w:type="gram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 xml:space="preserve">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3), где</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lastRenderedPageBreak/>
        <w:t>К – максимально возможный «зачетный» балл в конкретном задании (по регламенту);</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rsidR="006D7833" w:rsidRPr="003D6722" w:rsidRDefault="006D7833" w:rsidP="006D7833">
      <w:pPr>
        <w:rPr>
          <w:rFonts w:ascii="Times New Roman" w:hAnsi="Times New Roman" w:cs="Times New Roman"/>
          <w:sz w:val="24"/>
          <w:szCs w:val="24"/>
        </w:rPr>
      </w:pPr>
    </w:p>
    <w:p w:rsidR="006D7833" w:rsidRPr="003D6722" w:rsidRDefault="006D7833" w:rsidP="006D783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w:t>
      </w:r>
      <w:r w:rsidR="001D76F7" w:rsidRPr="003D6722">
        <w:rPr>
          <w:rFonts w:ascii="Times New Roman" w:hAnsi="Times New Roman" w:cs="Times New Roman"/>
          <w:color w:val="000000" w:themeColor="text1"/>
          <w:sz w:val="24"/>
          <w:szCs w:val="24"/>
        </w:rPr>
        <w:t xml:space="preserve">стового раунда не </w:t>
      </w:r>
      <w:proofErr w:type="spellStart"/>
      <w:r w:rsidR="001D76F7" w:rsidRPr="003D6722">
        <w:rPr>
          <w:rFonts w:ascii="Times New Roman" w:hAnsi="Times New Roman" w:cs="Times New Roman"/>
          <w:color w:val="000000" w:themeColor="text1"/>
          <w:sz w:val="24"/>
          <w:szCs w:val="24"/>
        </w:rPr>
        <w:t>апел</w:t>
      </w:r>
      <w:r w:rsidRPr="003D6722">
        <w:rPr>
          <w:rFonts w:ascii="Times New Roman" w:hAnsi="Times New Roman" w:cs="Times New Roman"/>
          <w:color w:val="000000" w:themeColor="text1"/>
          <w:sz w:val="24"/>
          <w:szCs w:val="24"/>
        </w:rPr>
        <w:t>лируются</w:t>
      </w:r>
      <w:proofErr w:type="spellEnd"/>
      <w:r w:rsidRPr="003D6722">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667483" w:rsidRPr="003D6722" w:rsidRDefault="00667483" w:rsidP="00667483">
      <w:pPr>
        <w:pStyle w:val="Default"/>
        <w:spacing w:line="360" w:lineRule="auto"/>
      </w:pPr>
    </w:p>
    <w:p w:rsidR="00667483" w:rsidRPr="003D6722" w:rsidRDefault="00667483" w:rsidP="00667483">
      <w:pPr>
        <w:spacing w:after="0" w:line="240" w:lineRule="auto"/>
        <w:rPr>
          <w:rFonts w:ascii="Times New Roman" w:eastAsia="Times New Roman" w:hAnsi="Times New Roman" w:cs="Times New Roman"/>
          <w:sz w:val="24"/>
          <w:szCs w:val="24"/>
          <w:lang w:eastAsia="ru-RU"/>
        </w:rPr>
      </w:pPr>
    </w:p>
    <w:p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2C"/>
    <w:rsid w:val="00000B46"/>
    <w:rsid w:val="00006231"/>
    <w:rsid w:val="00017991"/>
    <w:rsid w:val="00030667"/>
    <w:rsid w:val="00056915"/>
    <w:rsid w:val="000679DA"/>
    <w:rsid w:val="0007769C"/>
    <w:rsid w:val="000944EE"/>
    <w:rsid w:val="0017270B"/>
    <w:rsid w:val="001C2645"/>
    <w:rsid w:val="001D76F7"/>
    <w:rsid w:val="00256F24"/>
    <w:rsid w:val="002C11D2"/>
    <w:rsid w:val="003576D4"/>
    <w:rsid w:val="003B2ABE"/>
    <w:rsid w:val="003D6722"/>
    <w:rsid w:val="003E1E7A"/>
    <w:rsid w:val="00453A1E"/>
    <w:rsid w:val="004A46F1"/>
    <w:rsid w:val="004C30D8"/>
    <w:rsid w:val="00560D52"/>
    <w:rsid w:val="005A304C"/>
    <w:rsid w:val="006325A5"/>
    <w:rsid w:val="00667483"/>
    <w:rsid w:val="00694475"/>
    <w:rsid w:val="00695F9D"/>
    <w:rsid w:val="006D7833"/>
    <w:rsid w:val="007069BA"/>
    <w:rsid w:val="00711E2F"/>
    <w:rsid w:val="0072617D"/>
    <w:rsid w:val="00735DC7"/>
    <w:rsid w:val="00753476"/>
    <w:rsid w:val="00753657"/>
    <w:rsid w:val="007B0BA4"/>
    <w:rsid w:val="008132F7"/>
    <w:rsid w:val="00857C5B"/>
    <w:rsid w:val="0086102C"/>
    <w:rsid w:val="009562C1"/>
    <w:rsid w:val="00A350EF"/>
    <w:rsid w:val="00A45537"/>
    <w:rsid w:val="00A916B2"/>
    <w:rsid w:val="00AB41A7"/>
    <w:rsid w:val="00C45589"/>
    <w:rsid w:val="00C65F75"/>
    <w:rsid w:val="00CE133D"/>
    <w:rsid w:val="00D26A3A"/>
    <w:rsid w:val="00D87DD3"/>
    <w:rsid w:val="00DC3130"/>
    <w:rsid w:val="00DC44EC"/>
    <w:rsid w:val="00DD1C88"/>
    <w:rsid w:val="00E02E63"/>
    <w:rsid w:val="00E03C9A"/>
    <w:rsid w:val="00E3386D"/>
    <w:rsid w:val="00E33EE1"/>
    <w:rsid w:val="00E66B44"/>
    <w:rsid w:val="00E6774F"/>
    <w:rsid w:val="00EA4C6E"/>
    <w:rsid w:val="00ED1D37"/>
    <w:rsid w:val="00EE2C22"/>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F3ED"/>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15</cp:revision>
  <dcterms:created xsi:type="dcterms:W3CDTF">2019-10-16T07:27:00Z</dcterms:created>
  <dcterms:modified xsi:type="dcterms:W3CDTF">2021-10-17T19:49:00Z</dcterms:modified>
</cp:coreProperties>
</file>